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3A" w:rsidRDefault="00D6703A" w:rsidP="00D6703A">
      <w:pPr>
        <w:pStyle w:val="Default"/>
      </w:pPr>
      <w:bookmarkStart w:id="0" w:name="_GoBack"/>
      <w:bookmarkEnd w:id="0"/>
      <w:r w:rsidRPr="00401AA7">
        <w:t>Budget Allocated</w:t>
      </w:r>
      <w:r>
        <w:t xml:space="preserve"> for 2018-2019</w:t>
      </w:r>
      <w:r w:rsidRPr="00401AA7">
        <w:t>:</w:t>
      </w:r>
      <w:r>
        <w:t xml:space="preserve"> £16,960</w:t>
      </w:r>
    </w:p>
    <w:p w:rsidR="00D6703A" w:rsidRDefault="00D6703A" w:rsidP="00D6703A">
      <w:pPr>
        <w:pStyle w:val="Default"/>
      </w:pPr>
      <w:r>
        <w:t>Budget carried forward from 2017-2018: £9,170</w:t>
      </w:r>
    </w:p>
    <w:p w:rsidR="00D6703A" w:rsidRDefault="00D6703A" w:rsidP="00D6703A">
      <w:pPr>
        <w:pStyle w:val="Default"/>
      </w:pPr>
      <w:r>
        <w:t>Total budget for 2018-2019: £26,130</w:t>
      </w:r>
    </w:p>
    <w:p w:rsidR="00D6703A" w:rsidRPr="00401AA7" w:rsidRDefault="00D6703A" w:rsidP="00D6703A">
      <w:pPr>
        <w:pStyle w:val="Default"/>
      </w:pPr>
    </w:p>
    <w:p w:rsidR="00D6703A" w:rsidRPr="00401AA7" w:rsidRDefault="00D6703A" w:rsidP="00D6703A">
      <w:pPr>
        <w:pStyle w:val="Default"/>
      </w:pPr>
      <w:r w:rsidRPr="00401AA7">
        <w:t>Total Spend</w:t>
      </w:r>
      <w:r w:rsidRPr="0072302C">
        <w:rPr>
          <w:color w:val="auto"/>
        </w:rPr>
        <w:t>:</w:t>
      </w:r>
      <w:r w:rsidRPr="0072302C">
        <w:rPr>
          <w:color w:val="auto"/>
          <w:sz w:val="23"/>
          <w:szCs w:val="23"/>
        </w:rPr>
        <w:t xml:space="preserve"> £5,724.61</w:t>
      </w:r>
    </w:p>
    <w:p w:rsidR="00D6703A" w:rsidRPr="00401AA7" w:rsidRDefault="00D6703A" w:rsidP="00D6703A">
      <w:pPr>
        <w:pStyle w:val="Default"/>
      </w:pPr>
      <w:r w:rsidRPr="00401AA7">
        <w:t xml:space="preserve">Amount </w:t>
      </w:r>
      <w:r>
        <w:t>to be carried over to March 2018-March 2019</w:t>
      </w:r>
      <w:r w:rsidRPr="00401AA7">
        <w:t>:</w:t>
      </w:r>
      <w:r>
        <w:t xml:space="preserve"> £19,845</w:t>
      </w:r>
    </w:p>
    <w:p w:rsidR="00D6703A" w:rsidRDefault="00D6703A"/>
    <w:tbl>
      <w:tblPr>
        <w:tblStyle w:val="TableGrid"/>
        <w:tblW w:w="15464" w:type="dxa"/>
        <w:tblLayout w:type="fixed"/>
        <w:tblLook w:val="0000" w:firstRow="0" w:lastRow="0" w:firstColumn="0" w:lastColumn="0" w:noHBand="0" w:noVBand="0"/>
      </w:tblPr>
      <w:tblGrid>
        <w:gridCol w:w="3866"/>
        <w:gridCol w:w="4464"/>
        <w:gridCol w:w="1559"/>
        <w:gridCol w:w="5575"/>
      </w:tblGrid>
      <w:tr w:rsidR="00D6703A" w:rsidTr="00D6703A">
        <w:trPr>
          <w:trHeight w:val="120"/>
        </w:trPr>
        <w:tc>
          <w:tcPr>
            <w:tcW w:w="3866" w:type="dxa"/>
          </w:tcPr>
          <w:p w:rsidR="00D6703A" w:rsidRDefault="00D6703A" w:rsidP="00263128">
            <w:pPr>
              <w:pStyle w:val="Default"/>
              <w:rPr>
                <w:sz w:val="23"/>
                <w:szCs w:val="23"/>
              </w:rPr>
            </w:pPr>
            <w:r>
              <w:rPr>
                <w:b/>
                <w:bCs/>
                <w:sz w:val="23"/>
                <w:szCs w:val="23"/>
              </w:rPr>
              <w:t xml:space="preserve">Area of focus </w:t>
            </w:r>
          </w:p>
        </w:tc>
        <w:tc>
          <w:tcPr>
            <w:tcW w:w="4464" w:type="dxa"/>
          </w:tcPr>
          <w:p w:rsidR="00D6703A" w:rsidRDefault="00D6703A" w:rsidP="00263128">
            <w:pPr>
              <w:pStyle w:val="Default"/>
              <w:rPr>
                <w:sz w:val="23"/>
                <w:szCs w:val="23"/>
              </w:rPr>
            </w:pPr>
            <w:r>
              <w:rPr>
                <w:b/>
                <w:bCs/>
                <w:sz w:val="23"/>
                <w:szCs w:val="23"/>
              </w:rPr>
              <w:t xml:space="preserve">Description </w:t>
            </w:r>
          </w:p>
        </w:tc>
        <w:tc>
          <w:tcPr>
            <w:tcW w:w="1559" w:type="dxa"/>
          </w:tcPr>
          <w:p w:rsidR="00D6703A" w:rsidRDefault="00D6703A" w:rsidP="00263128">
            <w:pPr>
              <w:pStyle w:val="Default"/>
              <w:rPr>
                <w:sz w:val="23"/>
                <w:szCs w:val="23"/>
              </w:rPr>
            </w:pPr>
            <w:r>
              <w:rPr>
                <w:b/>
                <w:bCs/>
                <w:sz w:val="23"/>
                <w:szCs w:val="23"/>
              </w:rPr>
              <w:t xml:space="preserve">Cost £ </w:t>
            </w:r>
          </w:p>
        </w:tc>
        <w:tc>
          <w:tcPr>
            <w:tcW w:w="5575" w:type="dxa"/>
          </w:tcPr>
          <w:p w:rsidR="00D6703A" w:rsidRDefault="00D6703A" w:rsidP="00263128">
            <w:pPr>
              <w:pStyle w:val="Default"/>
              <w:rPr>
                <w:sz w:val="23"/>
                <w:szCs w:val="23"/>
              </w:rPr>
            </w:pPr>
            <w:r>
              <w:rPr>
                <w:b/>
                <w:bCs/>
                <w:sz w:val="23"/>
                <w:szCs w:val="23"/>
              </w:rPr>
              <w:t xml:space="preserve">Evidence of impact </w:t>
            </w:r>
          </w:p>
        </w:tc>
      </w:tr>
      <w:tr w:rsidR="00D6703A" w:rsidTr="00D6703A">
        <w:trPr>
          <w:trHeight w:val="266"/>
        </w:trPr>
        <w:tc>
          <w:tcPr>
            <w:tcW w:w="3866" w:type="dxa"/>
          </w:tcPr>
          <w:p w:rsidR="00D6703A" w:rsidRDefault="00D6703A" w:rsidP="00263128">
            <w:pPr>
              <w:pStyle w:val="Default"/>
              <w:rPr>
                <w:sz w:val="23"/>
                <w:szCs w:val="23"/>
              </w:rPr>
            </w:pPr>
            <w:r>
              <w:rPr>
                <w:sz w:val="23"/>
                <w:szCs w:val="23"/>
              </w:rPr>
              <w:t>The engagement of all pupils in regular physical activity. The Chief Medical Officer guidelines recommend that all children and young people aged 5 to 18 engage in at least 60 minutes of physical activity a day, of which 30 minutes should be in school.</w:t>
            </w:r>
          </w:p>
        </w:tc>
        <w:tc>
          <w:tcPr>
            <w:tcW w:w="4464" w:type="dxa"/>
          </w:tcPr>
          <w:p w:rsidR="00D6703A" w:rsidRDefault="00D6703A" w:rsidP="00263128">
            <w:pPr>
              <w:pStyle w:val="Default"/>
              <w:rPr>
                <w:sz w:val="23"/>
                <w:szCs w:val="23"/>
              </w:rPr>
            </w:pPr>
            <w:r>
              <w:rPr>
                <w:sz w:val="23"/>
                <w:szCs w:val="23"/>
              </w:rPr>
              <w:t>Purchase of a range of specialist playground equipment and learning/ sensory resources to support active playgrounds.</w:t>
            </w:r>
          </w:p>
          <w:p w:rsidR="00D6703A" w:rsidRPr="00BB5305" w:rsidRDefault="00D6703A" w:rsidP="00263128">
            <w:pPr>
              <w:pStyle w:val="Default"/>
              <w:rPr>
                <w:strike/>
                <w:sz w:val="23"/>
                <w:szCs w:val="23"/>
              </w:rPr>
            </w:pPr>
          </w:p>
          <w:p w:rsidR="00D6703A" w:rsidRDefault="00D6703A" w:rsidP="00263128">
            <w:pPr>
              <w:pStyle w:val="Default"/>
              <w:rPr>
                <w:sz w:val="23"/>
                <w:szCs w:val="23"/>
              </w:rPr>
            </w:pPr>
          </w:p>
        </w:tc>
        <w:tc>
          <w:tcPr>
            <w:tcW w:w="1559" w:type="dxa"/>
          </w:tcPr>
          <w:p w:rsidR="00D6703A" w:rsidRDefault="00D6703A" w:rsidP="00263128">
            <w:pPr>
              <w:pStyle w:val="Default"/>
              <w:rPr>
                <w:sz w:val="23"/>
                <w:szCs w:val="23"/>
              </w:rPr>
            </w:pPr>
            <w:r>
              <w:rPr>
                <w:sz w:val="23"/>
                <w:szCs w:val="23"/>
              </w:rPr>
              <w:t>£1,136.08</w:t>
            </w:r>
          </w:p>
          <w:p w:rsidR="00D6703A" w:rsidRDefault="00D6703A" w:rsidP="00263128">
            <w:pPr>
              <w:pStyle w:val="Default"/>
              <w:rPr>
                <w:sz w:val="23"/>
                <w:szCs w:val="23"/>
              </w:rPr>
            </w:pPr>
          </w:p>
        </w:tc>
        <w:tc>
          <w:tcPr>
            <w:tcW w:w="5575" w:type="dxa"/>
          </w:tcPr>
          <w:p w:rsidR="00D6703A" w:rsidRDefault="00D6703A" w:rsidP="00263128">
            <w:pPr>
              <w:pStyle w:val="Default"/>
              <w:rPr>
                <w:sz w:val="23"/>
                <w:szCs w:val="23"/>
              </w:rPr>
            </w:pPr>
            <w:r>
              <w:rPr>
                <w:sz w:val="23"/>
                <w:szCs w:val="23"/>
              </w:rPr>
              <w:t>More pupils engaged in lunchtime and break time activities.</w:t>
            </w:r>
          </w:p>
          <w:p w:rsidR="00D6703A" w:rsidRDefault="00D6703A" w:rsidP="00263128">
            <w:pPr>
              <w:pStyle w:val="Default"/>
              <w:rPr>
                <w:sz w:val="23"/>
                <w:szCs w:val="23"/>
              </w:rPr>
            </w:pPr>
          </w:p>
          <w:p w:rsidR="00D6703A" w:rsidRDefault="00D6703A" w:rsidP="00263128">
            <w:pPr>
              <w:pStyle w:val="Default"/>
              <w:rPr>
                <w:sz w:val="23"/>
                <w:szCs w:val="23"/>
              </w:rPr>
            </w:pPr>
            <w:r>
              <w:rPr>
                <w:sz w:val="23"/>
                <w:szCs w:val="23"/>
              </w:rPr>
              <w:t>Pupils display greater confidence and self-esteem in lessons as evidenced from feedback from staff</w:t>
            </w:r>
          </w:p>
          <w:p w:rsidR="00D6703A" w:rsidRDefault="00D6703A" w:rsidP="00263128">
            <w:pPr>
              <w:pStyle w:val="Default"/>
              <w:rPr>
                <w:sz w:val="23"/>
                <w:szCs w:val="23"/>
              </w:rPr>
            </w:pPr>
          </w:p>
          <w:p w:rsidR="00D6703A" w:rsidRDefault="00D6703A" w:rsidP="00263128">
            <w:pPr>
              <w:pStyle w:val="Default"/>
              <w:rPr>
                <w:sz w:val="23"/>
                <w:szCs w:val="23"/>
              </w:rPr>
            </w:pPr>
            <w:r>
              <w:rPr>
                <w:sz w:val="23"/>
                <w:szCs w:val="23"/>
              </w:rPr>
              <w:t>Pupils display improved ability to form relationships through teamwork as observed over lunchtimes.</w:t>
            </w:r>
          </w:p>
        </w:tc>
      </w:tr>
      <w:tr w:rsidR="00D6703A" w:rsidTr="00D6703A">
        <w:trPr>
          <w:trHeight w:val="559"/>
        </w:trPr>
        <w:tc>
          <w:tcPr>
            <w:tcW w:w="3866" w:type="dxa"/>
          </w:tcPr>
          <w:p w:rsidR="00D6703A" w:rsidRDefault="00D6703A" w:rsidP="00263128">
            <w:pPr>
              <w:pStyle w:val="Default"/>
              <w:rPr>
                <w:sz w:val="23"/>
                <w:szCs w:val="23"/>
              </w:rPr>
            </w:pPr>
            <w:r>
              <w:rPr>
                <w:sz w:val="23"/>
                <w:szCs w:val="23"/>
              </w:rPr>
              <w:t>The profile of PE and sport being raised across the school as a tool for whole school improvement.</w:t>
            </w:r>
          </w:p>
        </w:tc>
        <w:tc>
          <w:tcPr>
            <w:tcW w:w="4464" w:type="dxa"/>
          </w:tcPr>
          <w:p w:rsidR="00D6703A" w:rsidRDefault="00D6703A" w:rsidP="00263128">
            <w:pPr>
              <w:pStyle w:val="Default"/>
              <w:rPr>
                <w:sz w:val="23"/>
                <w:szCs w:val="23"/>
              </w:rPr>
            </w:pPr>
            <w:r>
              <w:rPr>
                <w:sz w:val="23"/>
                <w:szCs w:val="23"/>
              </w:rPr>
              <w:t>Selection of sensory toys to develop fine motor skills and coordination across the curriculum.</w:t>
            </w:r>
          </w:p>
        </w:tc>
        <w:tc>
          <w:tcPr>
            <w:tcW w:w="1559" w:type="dxa"/>
          </w:tcPr>
          <w:p w:rsidR="00D6703A" w:rsidRDefault="00D6703A" w:rsidP="00263128">
            <w:pPr>
              <w:pStyle w:val="Default"/>
              <w:rPr>
                <w:sz w:val="23"/>
                <w:szCs w:val="23"/>
              </w:rPr>
            </w:pPr>
            <w:r>
              <w:rPr>
                <w:sz w:val="23"/>
                <w:szCs w:val="23"/>
              </w:rPr>
              <w:t>£1,972.75</w:t>
            </w:r>
          </w:p>
        </w:tc>
        <w:tc>
          <w:tcPr>
            <w:tcW w:w="5575" w:type="dxa"/>
          </w:tcPr>
          <w:p w:rsidR="00D6703A" w:rsidRPr="00546852" w:rsidRDefault="00D6703A" w:rsidP="00263128">
            <w:pPr>
              <w:pStyle w:val="Default"/>
              <w:rPr>
                <w:color w:val="auto"/>
                <w:sz w:val="23"/>
                <w:szCs w:val="23"/>
              </w:rPr>
            </w:pPr>
            <w:r w:rsidRPr="00546852">
              <w:rPr>
                <w:color w:val="auto"/>
                <w:sz w:val="23"/>
                <w:szCs w:val="23"/>
              </w:rPr>
              <w:t>More pupils with sensory disabilities accessed a broader range of physical activities</w:t>
            </w:r>
          </w:p>
          <w:p w:rsidR="00D6703A" w:rsidRPr="00546852" w:rsidRDefault="00D6703A" w:rsidP="00263128">
            <w:pPr>
              <w:pStyle w:val="Default"/>
              <w:rPr>
                <w:color w:val="auto"/>
                <w:sz w:val="23"/>
                <w:szCs w:val="23"/>
              </w:rPr>
            </w:pPr>
          </w:p>
          <w:p w:rsidR="00D6703A" w:rsidRPr="00546852" w:rsidRDefault="00D6703A" w:rsidP="00263128">
            <w:pPr>
              <w:pStyle w:val="Default"/>
              <w:rPr>
                <w:color w:val="auto"/>
                <w:sz w:val="23"/>
                <w:szCs w:val="23"/>
              </w:rPr>
            </w:pPr>
            <w:r w:rsidRPr="00546852">
              <w:rPr>
                <w:color w:val="auto"/>
                <w:sz w:val="23"/>
                <w:szCs w:val="23"/>
              </w:rPr>
              <w:t>Sensory toys being used to support the self-regulation of pupils and as a result pupil are making better progress in PE.</w:t>
            </w:r>
          </w:p>
        </w:tc>
      </w:tr>
      <w:tr w:rsidR="00D6703A" w:rsidTr="00D6703A">
        <w:trPr>
          <w:trHeight w:val="559"/>
        </w:trPr>
        <w:tc>
          <w:tcPr>
            <w:tcW w:w="3866" w:type="dxa"/>
          </w:tcPr>
          <w:p w:rsidR="00D6703A" w:rsidRDefault="00D6703A" w:rsidP="00263128">
            <w:pPr>
              <w:pStyle w:val="Default"/>
              <w:rPr>
                <w:sz w:val="23"/>
                <w:szCs w:val="23"/>
              </w:rPr>
            </w:pPr>
            <w:r>
              <w:rPr>
                <w:sz w:val="23"/>
                <w:szCs w:val="23"/>
              </w:rPr>
              <w:t>Increased confidence, knowledge and skill of all staff teaching Physical Education and sport.</w:t>
            </w:r>
          </w:p>
        </w:tc>
        <w:tc>
          <w:tcPr>
            <w:tcW w:w="4464" w:type="dxa"/>
          </w:tcPr>
          <w:p w:rsidR="00D6703A" w:rsidRDefault="00D6703A" w:rsidP="00263128">
            <w:pPr>
              <w:pStyle w:val="Default"/>
              <w:rPr>
                <w:sz w:val="23"/>
                <w:szCs w:val="23"/>
              </w:rPr>
            </w:pPr>
            <w:r>
              <w:rPr>
                <w:sz w:val="23"/>
                <w:szCs w:val="23"/>
              </w:rPr>
              <w:t>Rainbow parachute, toddler sensory den, sensory toys.</w:t>
            </w:r>
          </w:p>
        </w:tc>
        <w:tc>
          <w:tcPr>
            <w:tcW w:w="1559" w:type="dxa"/>
          </w:tcPr>
          <w:p w:rsidR="00D6703A" w:rsidRDefault="00D6703A" w:rsidP="00263128">
            <w:pPr>
              <w:pStyle w:val="Default"/>
              <w:rPr>
                <w:sz w:val="23"/>
                <w:szCs w:val="23"/>
              </w:rPr>
            </w:pPr>
            <w:r>
              <w:rPr>
                <w:sz w:val="23"/>
                <w:szCs w:val="23"/>
              </w:rPr>
              <w:t>£679.45</w:t>
            </w:r>
          </w:p>
        </w:tc>
        <w:tc>
          <w:tcPr>
            <w:tcW w:w="5575" w:type="dxa"/>
          </w:tcPr>
          <w:p w:rsidR="00D6703A" w:rsidRDefault="00D6703A" w:rsidP="00263128">
            <w:pPr>
              <w:pStyle w:val="Default"/>
              <w:rPr>
                <w:sz w:val="23"/>
                <w:szCs w:val="23"/>
              </w:rPr>
            </w:pPr>
            <w:r>
              <w:rPr>
                <w:sz w:val="23"/>
                <w:szCs w:val="23"/>
              </w:rPr>
              <w:t>Staff leading activities at lunchtime, pupils all showing engagement, having fun and choosing different activities.</w:t>
            </w:r>
          </w:p>
          <w:p w:rsidR="00D6703A" w:rsidRDefault="00D6703A" w:rsidP="00263128">
            <w:pPr>
              <w:pStyle w:val="Default"/>
              <w:rPr>
                <w:sz w:val="23"/>
                <w:szCs w:val="23"/>
              </w:rPr>
            </w:pPr>
          </w:p>
        </w:tc>
      </w:tr>
      <w:tr w:rsidR="00D6703A" w:rsidTr="00D6703A">
        <w:trPr>
          <w:trHeight w:val="559"/>
        </w:trPr>
        <w:tc>
          <w:tcPr>
            <w:tcW w:w="3866" w:type="dxa"/>
          </w:tcPr>
          <w:p w:rsidR="00D6703A" w:rsidRDefault="00D6703A" w:rsidP="00263128">
            <w:pPr>
              <w:pStyle w:val="Default"/>
              <w:rPr>
                <w:sz w:val="23"/>
                <w:szCs w:val="23"/>
              </w:rPr>
            </w:pPr>
            <w:r>
              <w:rPr>
                <w:sz w:val="23"/>
                <w:szCs w:val="23"/>
              </w:rPr>
              <w:t xml:space="preserve">Broader Experience of a range of sports activities offered to all pupils. </w:t>
            </w:r>
          </w:p>
        </w:tc>
        <w:tc>
          <w:tcPr>
            <w:tcW w:w="4464" w:type="dxa"/>
          </w:tcPr>
          <w:p w:rsidR="00D6703A" w:rsidRDefault="00D6703A" w:rsidP="00263128">
            <w:pPr>
              <w:pStyle w:val="Default"/>
              <w:rPr>
                <w:sz w:val="23"/>
                <w:szCs w:val="23"/>
              </w:rPr>
            </w:pPr>
            <w:r>
              <w:rPr>
                <w:sz w:val="23"/>
                <w:szCs w:val="23"/>
              </w:rPr>
              <w:t>Table tennis class pack and Caldecott Experience Centre.</w:t>
            </w:r>
          </w:p>
        </w:tc>
        <w:tc>
          <w:tcPr>
            <w:tcW w:w="1559" w:type="dxa"/>
          </w:tcPr>
          <w:p w:rsidR="00D6703A" w:rsidRDefault="00D6703A" w:rsidP="00263128">
            <w:pPr>
              <w:pStyle w:val="Default"/>
              <w:rPr>
                <w:sz w:val="23"/>
                <w:szCs w:val="23"/>
              </w:rPr>
            </w:pPr>
            <w:r>
              <w:rPr>
                <w:sz w:val="23"/>
                <w:szCs w:val="23"/>
              </w:rPr>
              <w:t>£799.90</w:t>
            </w:r>
          </w:p>
        </w:tc>
        <w:tc>
          <w:tcPr>
            <w:tcW w:w="5575" w:type="dxa"/>
          </w:tcPr>
          <w:p w:rsidR="00D6703A" w:rsidRPr="00546852" w:rsidRDefault="00D6703A" w:rsidP="00263128">
            <w:pPr>
              <w:pStyle w:val="Default"/>
              <w:rPr>
                <w:color w:val="auto"/>
                <w:sz w:val="23"/>
                <w:szCs w:val="23"/>
              </w:rPr>
            </w:pPr>
            <w:r w:rsidRPr="00546852">
              <w:rPr>
                <w:color w:val="auto"/>
                <w:sz w:val="23"/>
                <w:szCs w:val="23"/>
              </w:rPr>
              <w:t xml:space="preserve">Table tennis now offered to pupils within the school which is being used to develop hand eye coordination. </w:t>
            </w:r>
          </w:p>
          <w:p w:rsidR="00D6703A" w:rsidRPr="00546852" w:rsidRDefault="00D6703A" w:rsidP="00263128">
            <w:pPr>
              <w:pStyle w:val="Default"/>
              <w:rPr>
                <w:color w:val="auto"/>
                <w:sz w:val="23"/>
                <w:szCs w:val="23"/>
              </w:rPr>
            </w:pPr>
          </w:p>
          <w:p w:rsidR="00D6703A" w:rsidRPr="00546852" w:rsidRDefault="00D6703A" w:rsidP="00263128">
            <w:pPr>
              <w:pStyle w:val="Default"/>
              <w:rPr>
                <w:color w:val="auto"/>
                <w:sz w:val="23"/>
                <w:szCs w:val="23"/>
              </w:rPr>
            </w:pPr>
            <w:r w:rsidRPr="00546852">
              <w:rPr>
                <w:color w:val="auto"/>
                <w:sz w:val="23"/>
                <w:szCs w:val="23"/>
              </w:rPr>
              <w:t>More pupils accessed physical activities due to the specialist resources and trained staff.</w:t>
            </w:r>
          </w:p>
        </w:tc>
      </w:tr>
      <w:tr w:rsidR="00D6703A" w:rsidTr="00D6703A">
        <w:trPr>
          <w:trHeight w:val="705"/>
        </w:trPr>
        <w:tc>
          <w:tcPr>
            <w:tcW w:w="3866" w:type="dxa"/>
          </w:tcPr>
          <w:p w:rsidR="00D6703A" w:rsidRDefault="00D6703A" w:rsidP="00263128">
            <w:pPr>
              <w:pStyle w:val="Default"/>
              <w:rPr>
                <w:sz w:val="23"/>
                <w:szCs w:val="23"/>
              </w:rPr>
            </w:pPr>
            <w:r>
              <w:rPr>
                <w:sz w:val="23"/>
                <w:szCs w:val="23"/>
              </w:rPr>
              <w:lastRenderedPageBreak/>
              <w:t>Increased participation in competitive sport.</w:t>
            </w:r>
          </w:p>
        </w:tc>
        <w:tc>
          <w:tcPr>
            <w:tcW w:w="4464" w:type="dxa"/>
          </w:tcPr>
          <w:p w:rsidR="00D6703A" w:rsidRDefault="00D6703A" w:rsidP="00263128">
            <w:pPr>
              <w:pStyle w:val="Default"/>
              <w:rPr>
                <w:sz w:val="23"/>
                <w:szCs w:val="23"/>
              </w:rPr>
            </w:pPr>
            <w:r>
              <w:rPr>
                <w:sz w:val="23"/>
                <w:szCs w:val="23"/>
              </w:rPr>
              <w:t>A selection of footballs, basket balls, bibs and sport equipment for team games.</w:t>
            </w:r>
          </w:p>
          <w:p w:rsidR="00D6703A" w:rsidRDefault="00D6703A" w:rsidP="00263128">
            <w:pPr>
              <w:pStyle w:val="Default"/>
              <w:rPr>
                <w:sz w:val="23"/>
                <w:szCs w:val="23"/>
              </w:rPr>
            </w:pPr>
          </w:p>
        </w:tc>
        <w:tc>
          <w:tcPr>
            <w:tcW w:w="1559" w:type="dxa"/>
          </w:tcPr>
          <w:p w:rsidR="00D6703A" w:rsidRDefault="00D6703A" w:rsidP="00263128">
            <w:pPr>
              <w:pStyle w:val="Default"/>
              <w:rPr>
                <w:sz w:val="23"/>
                <w:szCs w:val="23"/>
              </w:rPr>
            </w:pPr>
            <w:r>
              <w:rPr>
                <w:sz w:val="23"/>
                <w:szCs w:val="23"/>
              </w:rPr>
              <w:t>£1,136.43</w:t>
            </w:r>
          </w:p>
        </w:tc>
        <w:tc>
          <w:tcPr>
            <w:tcW w:w="5575" w:type="dxa"/>
          </w:tcPr>
          <w:p w:rsidR="00D6703A" w:rsidRDefault="00D6703A" w:rsidP="00263128">
            <w:pPr>
              <w:pStyle w:val="Default"/>
              <w:rPr>
                <w:sz w:val="23"/>
                <w:szCs w:val="23"/>
              </w:rPr>
            </w:pPr>
            <w:r>
              <w:rPr>
                <w:sz w:val="23"/>
                <w:szCs w:val="23"/>
              </w:rPr>
              <w:t>40% more of pupils engaged in competitive opportunities</w:t>
            </w:r>
          </w:p>
        </w:tc>
      </w:tr>
      <w:tr w:rsidR="00D6703A" w:rsidTr="00D6703A">
        <w:trPr>
          <w:trHeight w:val="705"/>
        </w:trPr>
        <w:tc>
          <w:tcPr>
            <w:tcW w:w="8330" w:type="dxa"/>
            <w:gridSpan w:val="2"/>
          </w:tcPr>
          <w:p w:rsidR="00D6703A" w:rsidRDefault="00D6703A" w:rsidP="00263128">
            <w:pPr>
              <w:pStyle w:val="Default"/>
              <w:rPr>
                <w:sz w:val="23"/>
                <w:szCs w:val="23"/>
              </w:rPr>
            </w:pPr>
            <w:r>
              <w:rPr>
                <w:sz w:val="23"/>
                <w:szCs w:val="23"/>
              </w:rPr>
              <w:t>Total:</w:t>
            </w:r>
          </w:p>
        </w:tc>
        <w:tc>
          <w:tcPr>
            <w:tcW w:w="7134" w:type="dxa"/>
            <w:gridSpan w:val="2"/>
          </w:tcPr>
          <w:p w:rsidR="00D6703A" w:rsidRDefault="00D6703A" w:rsidP="00263128">
            <w:pPr>
              <w:pStyle w:val="Default"/>
              <w:rPr>
                <w:sz w:val="23"/>
                <w:szCs w:val="23"/>
              </w:rPr>
            </w:pPr>
            <w:r>
              <w:rPr>
                <w:sz w:val="23"/>
                <w:szCs w:val="23"/>
              </w:rPr>
              <w:t>£5,724.61</w:t>
            </w:r>
          </w:p>
        </w:tc>
      </w:tr>
    </w:tbl>
    <w:p w:rsidR="00804DA2" w:rsidRDefault="00804DA2" w:rsidP="00D6703A"/>
    <w:p w:rsidR="00D6703A" w:rsidRPr="00401AA7" w:rsidRDefault="00D6703A" w:rsidP="00D6703A">
      <w:r>
        <w:t xml:space="preserve">Reasons to carry over into 2019-2020: To have an area for Phase 1 pupils (primary) to be active as part of the 30/30 program to get children moving more and sitting less in school and learning through play and sport. This will also include the 1 mile a day track which will help to tackle obesity and help better body mechanics. This will also give more opportunities for every pupil to participate in something physical in physical development time. </w:t>
      </w:r>
    </w:p>
    <w:p w:rsidR="00D6703A" w:rsidRPr="00D6703A" w:rsidRDefault="00D6703A" w:rsidP="00D6703A"/>
    <w:sectPr w:rsidR="00D6703A" w:rsidRPr="00D6703A" w:rsidSect="00402079">
      <w:headerReference w:type="default" r:id="rId8"/>
      <w:footerReference w:type="default" r:id="rId9"/>
      <w:pgSz w:w="16838" w:h="11906" w:orient="landscape"/>
      <w:pgMar w:top="1986"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58" w:rsidRDefault="00C14C58" w:rsidP="00C14C58">
      <w:pPr>
        <w:spacing w:after="0" w:line="240" w:lineRule="auto"/>
      </w:pPr>
      <w:r>
        <w:separator/>
      </w:r>
    </w:p>
  </w:endnote>
  <w:endnote w:type="continuationSeparator" w:id="0">
    <w:p w:rsidR="00C14C58" w:rsidRDefault="00C14C58" w:rsidP="00C1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24" w:space="0" w:color="95B3D7" w:themeColor="accent1"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gridCol w:w="10410"/>
    </w:tblGrid>
    <w:tr w:rsidR="00D6703A" w:rsidTr="00A17D92">
      <w:tc>
        <w:tcPr>
          <w:tcW w:w="5204" w:type="dxa"/>
        </w:tcPr>
        <w:p w:rsidR="00D6703A" w:rsidRPr="00091D99" w:rsidRDefault="00D6703A" w:rsidP="00091D99">
          <w:pPr>
            <w:tabs>
              <w:tab w:val="center" w:pos="4513"/>
              <w:tab w:val="right" w:pos="9026"/>
            </w:tabs>
            <w:rPr>
              <w:color w:val="000000"/>
              <w:sz w:val="16"/>
            </w:rPr>
          </w:pPr>
        </w:p>
      </w:tc>
      <w:tc>
        <w:tcPr>
          <w:tcW w:w="10410" w:type="dxa"/>
        </w:tcPr>
        <w:p w:rsidR="00D6703A" w:rsidRPr="00091D99" w:rsidRDefault="00D6703A" w:rsidP="00091D99">
          <w:pPr>
            <w:tabs>
              <w:tab w:val="center" w:pos="4513"/>
              <w:tab w:val="right" w:pos="9026"/>
            </w:tabs>
            <w:jc w:val="right"/>
            <w:rPr>
              <w:color w:val="000000"/>
              <w:sz w:val="16"/>
            </w:rPr>
          </w:pPr>
          <w:r w:rsidRPr="00091D99">
            <w:rPr>
              <w:color w:val="000000"/>
              <w:sz w:val="16"/>
            </w:rPr>
            <w:t>Admin/</w:t>
          </w:r>
          <w:r>
            <w:rPr>
              <w:color w:val="000000"/>
              <w:sz w:val="16"/>
            </w:rPr>
            <w:t>Communication/Website/Sports Premium Report for Sept 2018 – Mar 2019/19.11.19</w:t>
          </w:r>
        </w:p>
      </w:tc>
    </w:tr>
  </w:tbl>
  <w:p w:rsidR="00C14C58" w:rsidRPr="00091D99" w:rsidRDefault="00C14C58" w:rsidP="00091D99">
    <w:pPr>
      <w:pBdr>
        <w:top w:val="nil"/>
        <w:left w:val="nil"/>
        <w:bottom w:val="nil"/>
        <w:right w:val="nil"/>
        <w:between w:val="nil"/>
      </w:pBdr>
      <w:tabs>
        <w:tab w:val="center" w:pos="4513"/>
        <w:tab w:val="right" w:pos="9026"/>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58" w:rsidRDefault="00C14C58" w:rsidP="00C14C58">
      <w:pPr>
        <w:spacing w:after="0" w:line="240" w:lineRule="auto"/>
      </w:pPr>
      <w:r>
        <w:separator/>
      </w:r>
    </w:p>
  </w:footnote>
  <w:footnote w:type="continuationSeparator" w:id="0">
    <w:p w:rsidR="00C14C58" w:rsidRDefault="00C14C58" w:rsidP="00C14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58" w:rsidRDefault="00C14C58">
    <w:pPr>
      <w:pStyle w:val="Header"/>
    </w:pPr>
    <w:r w:rsidRPr="00C14C58">
      <w:rPr>
        <w:noProof/>
        <w:lang w:eastAsia="en-GB"/>
      </w:rPr>
      <mc:AlternateContent>
        <mc:Choice Requires="wps">
          <w:drawing>
            <wp:anchor distT="0" distB="0" distL="114300" distR="114300" simplePos="0" relativeHeight="251659264" behindDoc="0" locked="0" layoutInCell="1" allowOverlap="1" wp14:anchorId="36BAF053" wp14:editId="3CA27113">
              <wp:simplePos x="0" y="0"/>
              <wp:positionH relativeFrom="column">
                <wp:posOffset>-466725</wp:posOffset>
              </wp:positionH>
              <wp:positionV relativeFrom="page">
                <wp:posOffset>28575</wp:posOffset>
              </wp:positionV>
              <wp:extent cx="10734675" cy="964565"/>
              <wp:effectExtent l="0" t="0" r="9525" b="6985"/>
              <wp:wrapNone/>
              <wp:docPr id="3" name="Rectangle 3"/>
              <wp:cNvGraphicFramePr/>
              <a:graphic xmlns:a="http://schemas.openxmlformats.org/drawingml/2006/main">
                <a:graphicData uri="http://schemas.microsoft.com/office/word/2010/wordprocessingShape">
                  <wps:wsp>
                    <wps:cNvSpPr/>
                    <wps:spPr>
                      <a:xfrm>
                        <a:off x="0" y="0"/>
                        <a:ext cx="10734675" cy="964565"/>
                      </a:xfrm>
                      <a:prstGeom prst="rect">
                        <a:avLst/>
                      </a:prstGeom>
                      <a:solidFill>
                        <a:srgbClr val="115F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4C58" w:rsidRDefault="00C14C58" w:rsidP="00B84594">
                          <w:pPr>
                            <w:spacing w:after="0" w:line="240" w:lineRule="auto"/>
                            <w:jc w:val="center"/>
                            <w:rPr>
                              <w:rFonts w:ascii="Calibri" w:hAnsi="Calibri" w:cs="Calibri"/>
                              <w:b/>
                              <w:color w:val="FFFFFF" w:themeColor="background1"/>
                              <w:sz w:val="52"/>
                              <w:lang w:val="en-US"/>
                            </w:rPr>
                          </w:pPr>
                          <w:bookmarkStart w:id="1" w:name="_Hlk23332803"/>
                          <w:bookmarkStart w:id="2" w:name="_Hlk23332833"/>
                          <w:bookmarkStart w:id="3" w:name="_Hlk23332834"/>
                          <w:bookmarkStart w:id="4" w:name="_Hlk23332836"/>
                          <w:bookmarkStart w:id="5" w:name="_Hlk23332837"/>
                          <w:bookmarkStart w:id="6" w:name="_Hlk23332838"/>
                          <w:bookmarkStart w:id="7" w:name="_Hlk23332839"/>
                          <w:bookmarkStart w:id="8" w:name="_Hlk23332840"/>
                          <w:bookmarkStart w:id="9" w:name="_Hlk23332841"/>
                          <w:bookmarkStart w:id="10" w:name="_Hlk23332842"/>
                          <w:bookmarkStart w:id="11" w:name="_Hlk23332843"/>
                          <w:bookmarkStart w:id="12" w:name="_Hlk23332844"/>
                          <w:bookmarkStart w:id="13" w:name="_Hlk23332845"/>
                          <w:bookmarkStart w:id="14" w:name="_Hlk23332846"/>
                          <w:bookmarkStart w:id="15" w:name="_Hlk23332847"/>
                          <w:bookmarkStart w:id="16" w:name="_Hlk23332848"/>
                          <w:bookmarkStart w:id="17" w:name="_Hlk23332849"/>
                          <w:bookmarkStart w:id="18" w:name="_Hlk23332850"/>
                          <w:bookmarkStart w:id="19" w:name="_Hlk23332851"/>
                          <w:bookmarkStart w:id="20" w:name="_Hlk23332852"/>
                          <w:bookmarkStart w:id="21" w:name="_Hlk23332853"/>
                          <w:bookmarkStart w:id="22" w:name="_Hlk23332854"/>
                          <w:bookmarkStart w:id="23" w:name="_Hlk23332855"/>
                          <w:bookmarkStart w:id="24" w:name="_Hlk23332856"/>
                          <w:bookmarkStart w:id="25" w:name="_Hlk23332857"/>
                          <w:bookmarkStart w:id="26" w:name="_Hlk23332858"/>
                          <w:bookmarkStart w:id="27" w:name="_Hlk23332859"/>
                          <w:bookmarkStart w:id="28" w:name="_Hlk23332860"/>
                          <w:bookmarkStart w:id="29" w:name="_Hlk23332861"/>
                          <w:bookmarkStart w:id="30" w:name="_Hlk23332881"/>
                          <w:bookmarkStart w:id="31" w:name="_Hlk23332882"/>
                          <w:bookmarkStart w:id="32" w:name="_Hlk23332886"/>
                          <w:bookmarkStart w:id="33" w:name="_Hlk23332887"/>
                          <w:bookmarkStart w:id="34" w:name="_Hlk23332890"/>
                          <w:bookmarkStart w:id="35" w:name="_Hlk23332891"/>
                          <w:bookmarkStart w:id="36" w:name="_Hlk23332892"/>
                          <w:bookmarkStart w:id="37" w:name="_Hlk23332893"/>
                          <w:bookmarkStart w:id="38" w:name="_Hlk23332894"/>
                          <w:bookmarkStart w:id="39" w:name="_Hlk23332895"/>
                          <w:bookmarkStart w:id="40" w:name="_Hlk23332896"/>
                          <w:bookmarkStart w:id="41" w:name="_Hlk23332897"/>
                          <w:bookmarkStart w:id="42" w:name="_Hlk23332898"/>
                          <w:bookmarkStart w:id="43" w:name="_Hlk23332899"/>
                          <w:bookmarkStart w:id="44" w:name="_Hlk23332900"/>
                          <w:bookmarkStart w:id="45" w:name="_Hlk23332901"/>
                          <w:bookmarkStart w:id="46" w:name="_Hlk23332902"/>
                          <w:bookmarkStart w:id="47" w:name="_Hlk23332903"/>
                          <w:r w:rsidRPr="00C22389">
                            <w:rPr>
                              <w:rFonts w:ascii="Calibri" w:hAnsi="Calibri" w:cs="Calibri"/>
                              <w:b/>
                              <w:color w:val="E18B3E"/>
                              <w:sz w:val="52"/>
                              <w:lang w:val="en-US"/>
                            </w:rPr>
                            <w:t xml:space="preserve">The </w:t>
                          </w:r>
                          <w:r w:rsidRPr="00C22389">
                            <w:rPr>
                              <w:rFonts w:ascii="Calibri" w:hAnsi="Calibri" w:cs="Calibri"/>
                              <w:b/>
                              <w:color w:val="FFFFFF" w:themeColor="background1"/>
                              <w:sz w:val="52"/>
                              <w:lang w:val="en-US"/>
                            </w:rPr>
                            <w:t>Chiltern School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FA1952" w:rsidRPr="00B84594" w:rsidRDefault="00D6703A" w:rsidP="00B84594">
                          <w:pPr>
                            <w:spacing w:after="0" w:line="240" w:lineRule="auto"/>
                            <w:jc w:val="center"/>
                            <w:rPr>
                              <w:rFonts w:ascii="Calibri" w:hAnsi="Calibri" w:cs="Calibri"/>
                              <w:b/>
                              <w:color w:val="FFFFFF" w:themeColor="background1"/>
                              <w:sz w:val="52"/>
                              <w:lang w:val="en-US"/>
                            </w:rPr>
                          </w:pPr>
                          <w:r>
                            <w:rPr>
                              <w:rFonts w:ascii="Calibri" w:hAnsi="Calibri" w:cs="Calibri"/>
                              <w:b/>
                              <w:color w:val="FFFFFF" w:themeColor="background1"/>
                              <w:sz w:val="52"/>
                              <w:lang w:val="en-US"/>
                            </w:rPr>
                            <w:t>Sports Premium Repo</w:t>
                          </w:r>
                          <w:r w:rsidR="00F422A9">
                            <w:rPr>
                              <w:rFonts w:ascii="Calibri" w:hAnsi="Calibri" w:cs="Calibri"/>
                              <w:b/>
                              <w:color w:val="FFFFFF" w:themeColor="background1"/>
                              <w:sz w:val="52"/>
                              <w:lang w:val="en-US"/>
                            </w:rPr>
                            <w:t>r</w:t>
                          </w:r>
                          <w:r>
                            <w:rPr>
                              <w:rFonts w:ascii="Calibri" w:hAnsi="Calibri" w:cs="Calibri"/>
                              <w:b/>
                              <w:color w:val="FFFFFF" w:themeColor="background1"/>
                              <w:sz w:val="52"/>
                              <w:lang w:val="en-US"/>
                            </w:rPr>
                            <w:t>t for September 2018 – March 2019</w:t>
                          </w:r>
                        </w:p>
                      </w:txbxContent>
                    </wps:txbx>
                    <wps:bodyPr rot="0" spcFirstLastPara="0" vertOverflow="overflow" horzOverflow="overflow" vert="horz" wrap="square" lIns="54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75pt;margin-top:2.25pt;width:845.25pt;height:7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" fillcolor="#115f92" stroked="f" strokeweight="2pt">
              <v:textbox inset="15mm">
                <w:txbxContent>
                  <w:p w:rsidR="00C14C58" w:rsidRDefault="00C14C58" w:rsidP="00B84594">
                    <w:pPr>
                      <w:spacing w:after="0" w:line="240" w:lineRule="auto"/>
                      <w:jc w:val="center"/>
                      <w:rPr>
                        <w:rFonts w:ascii="Calibri" w:hAnsi="Calibri" w:cs="Calibri"/>
                        <w:b/>
                        <w:color w:val="FFFFFF" w:themeColor="background1"/>
                        <w:sz w:val="52"/>
                        <w:lang w:val="en-US"/>
                      </w:rPr>
                    </w:pPr>
                    <w:bookmarkStart w:id="48" w:name="_Hlk23332803"/>
                    <w:bookmarkStart w:id="49" w:name="_Hlk23332833"/>
                    <w:bookmarkStart w:id="50" w:name="_Hlk23332834"/>
                    <w:bookmarkStart w:id="51" w:name="_Hlk23332836"/>
                    <w:bookmarkStart w:id="52" w:name="_Hlk23332837"/>
                    <w:bookmarkStart w:id="53" w:name="_Hlk23332838"/>
                    <w:bookmarkStart w:id="54" w:name="_Hlk23332839"/>
                    <w:bookmarkStart w:id="55" w:name="_Hlk23332840"/>
                    <w:bookmarkStart w:id="56" w:name="_Hlk23332841"/>
                    <w:bookmarkStart w:id="57" w:name="_Hlk23332842"/>
                    <w:bookmarkStart w:id="58" w:name="_Hlk23332843"/>
                    <w:bookmarkStart w:id="59" w:name="_Hlk23332844"/>
                    <w:bookmarkStart w:id="60" w:name="_Hlk23332845"/>
                    <w:bookmarkStart w:id="61" w:name="_Hlk23332846"/>
                    <w:bookmarkStart w:id="62" w:name="_Hlk23332847"/>
                    <w:bookmarkStart w:id="63" w:name="_Hlk23332848"/>
                    <w:bookmarkStart w:id="64" w:name="_Hlk23332849"/>
                    <w:bookmarkStart w:id="65" w:name="_Hlk23332850"/>
                    <w:bookmarkStart w:id="66" w:name="_Hlk23332851"/>
                    <w:bookmarkStart w:id="67" w:name="_Hlk23332852"/>
                    <w:bookmarkStart w:id="68" w:name="_Hlk23332853"/>
                    <w:bookmarkStart w:id="69" w:name="_Hlk23332854"/>
                    <w:bookmarkStart w:id="70" w:name="_Hlk23332855"/>
                    <w:bookmarkStart w:id="71" w:name="_Hlk23332856"/>
                    <w:bookmarkStart w:id="72" w:name="_Hlk23332857"/>
                    <w:bookmarkStart w:id="73" w:name="_Hlk23332858"/>
                    <w:bookmarkStart w:id="74" w:name="_Hlk23332859"/>
                    <w:bookmarkStart w:id="75" w:name="_Hlk23332860"/>
                    <w:bookmarkStart w:id="76" w:name="_Hlk23332861"/>
                    <w:bookmarkStart w:id="77" w:name="_Hlk23332881"/>
                    <w:bookmarkStart w:id="78" w:name="_Hlk23332882"/>
                    <w:bookmarkStart w:id="79" w:name="_Hlk23332886"/>
                    <w:bookmarkStart w:id="80" w:name="_Hlk23332887"/>
                    <w:bookmarkStart w:id="81" w:name="_Hlk23332890"/>
                    <w:bookmarkStart w:id="82" w:name="_Hlk23332891"/>
                    <w:bookmarkStart w:id="83" w:name="_Hlk23332892"/>
                    <w:bookmarkStart w:id="84" w:name="_Hlk23332893"/>
                    <w:bookmarkStart w:id="85" w:name="_Hlk23332894"/>
                    <w:bookmarkStart w:id="86" w:name="_Hlk23332895"/>
                    <w:bookmarkStart w:id="87" w:name="_Hlk23332896"/>
                    <w:bookmarkStart w:id="88" w:name="_Hlk23332897"/>
                    <w:bookmarkStart w:id="89" w:name="_Hlk23332898"/>
                    <w:bookmarkStart w:id="90" w:name="_Hlk23332899"/>
                    <w:bookmarkStart w:id="91" w:name="_Hlk23332900"/>
                    <w:bookmarkStart w:id="92" w:name="_Hlk23332901"/>
                    <w:bookmarkStart w:id="93" w:name="_Hlk23332902"/>
                    <w:bookmarkStart w:id="94" w:name="_Hlk23332903"/>
                    <w:r w:rsidRPr="00C22389">
                      <w:rPr>
                        <w:rFonts w:ascii="Calibri" w:hAnsi="Calibri" w:cs="Calibri"/>
                        <w:b/>
                        <w:color w:val="E18B3E"/>
                        <w:sz w:val="52"/>
                        <w:lang w:val="en-US"/>
                      </w:rPr>
                      <w:t xml:space="preserve">The </w:t>
                    </w:r>
                    <w:r w:rsidRPr="00C22389">
                      <w:rPr>
                        <w:rFonts w:ascii="Calibri" w:hAnsi="Calibri" w:cs="Calibri"/>
                        <w:b/>
                        <w:color w:val="FFFFFF" w:themeColor="background1"/>
                        <w:sz w:val="52"/>
                        <w:lang w:val="en-US"/>
                      </w:rPr>
                      <w:t>Chiltern School</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FA1952" w:rsidRPr="00B84594" w:rsidRDefault="00D6703A" w:rsidP="00B84594">
                    <w:pPr>
                      <w:spacing w:after="0" w:line="240" w:lineRule="auto"/>
                      <w:jc w:val="center"/>
                      <w:rPr>
                        <w:rFonts w:ascii="Calibri" w:hAnsi="Calibri" w:cs="Calibri"/>
                        <w:b/>
                        <w:color w:val="FFFFFF" w:themeColor="background1"/>
                        <w:sz w:val="52"/>
                        <w:lang w:val="en-US"/>
                      </w:rPr>
                    </w:pPr>
                    <w:r>
                      <w:rPr>
                        <w:rFonts w:ascii="Calibri" w:hAnsi="Calibri" w:cs="Calibri"/>
                        <w:b/>
                        <w:color w:val="FFFFFF" w:themeColor="background1"/>
                        <w:sz w:val="52"/>
                        <w:lang w:val="en-US"/>
                      </w:rPr>
                      <w:t>Sports Premium Repo</w:t>
                    </w:r>
                    <w:r w:rsidR="00F422A9">
                      <w:rPr>
                        <w:rFonts w:ascii="Calibri" w:hAnsi="Calibri" w:cs="Calibri"/>
                        <w:b/>
                        <w:color w:val="FFFFFF" w:themeColor="background1"/>
                        <w:sz w:val="52"/>
                        <w:lang w:val="en-US"/>
                      </w:rPr>
                      <w:t>r</w:t>
                    </w:r>
                    <w:r>
                      <w:rPr>
                        <w:rFonts w:ascii="Calibri" w:hAnsi="Calibri" w:cs="Calibri"/>
                        <w:b/>
                        <w:color w:val="FFFFFF" w:themeColor="background1"/>
                        <w:sz w:val="52"/>
                        <w:lang w:val="en-US"/>
                      </w:rPr>
                      <w:t>t for September 2018 – March 2019</w:t>
                    </w:r>
                  </w:p>
                </w:txbxContent>
              </v:textbox>
              <w10:wrap anchory="page"/>
            </v:rect>
          </w:pict>
        </mc:Fallback>
      </mc:AlternateContent>
    </w:r>
  </w:p>
  <w:p w:rsidR="00C14C58" w:rsidRDefault="001A743B">
    <w:pPr>
      <w:pStyle w:val="Header"/>
    </w:pPr>
    <w:r w:rsidRPr="00C14C58">
      <w:rPr>
        <w:noProof/>
        <w:lang w:eastAsia="en-GB"/>
      </w:rPr>
      <mc:AlternateContent>
        <mc:Choice Requires="wps">
          <w:drawing>
            <wp:anchor distT="0" distB="0" distL="114300" distR="114300" simplePos="0" relativeHeight="251660288" behindDoc="0" locked="0" layoutInCell="1" allowOverlap="1" wp14:anchorId="19A4D2FE" wp14:editId="633F092D">
              <wp:simplePos x="0" y="0"/>
              <wp:positionH relativeFrom="column">
                <wp:posOffset>-466725</wp:posOffset>
              </wp:positionH>
              <wp:positionV relativeFrom="page">
                <wp:posOffset>962025</wp:posOffset>
              </wp:positionV>
              <wp:extent cx="10725150" cy="154940"/>
              <wp:effectExtent l="0" t="0" r="0" b="0"/>
              <wp:wrapNone/>
              <wp:docPr id="1" name="Rectangle 1"/>
              <wp:cNvGraphicFramePr/>
              <a:graphic xmlns:a="http://schemas.openxmlformats.org/drawingml/2006/main">
                <a:graphicData uri="http://schemas.microsoft.com/office/word/2010/wordprocessingShape">
                  <wps:wsp>
                    <wps:cNvSpPr/>
                    <wps:spPr>
                      <a:xfrm>
                        <a:off x="0" y="0"/>
                        <a:ext cx="10725150" cy="154940"/>
                      </a:xfrm>
                      <a:prstGeom prst="rect">
                        <a:avLst/>
                      </a:prstGeom>
                      <a:solidFill>
                        <a:srgbClr val="DE884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4C58" w:rsidRPr="0045287B" w:rsidRDefault="00C14C58" w:rsidP="00C14C58">
                          <w:pPr>
                            <w:rPr>
                              <w:rFonts w:eastAsia="Times New Roman" w:cs="Times New Roman"/>
                              <w:color w:val="186090"/>
                            </w:rPr>
                          </w:pPr>
                        </w:p>
                      </w:txbxContent>
                    </wps:txbx>
                    <wps:bodyPr rot="0" spcFirstLastPara="0" vertOverflow="overflow" horzOverflow="overflow" vert="horz" wrap="square" lIns="54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6.75pt;margin-top:75.75pt;width:844.5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" fillcolor="#de8843" stroked="f" strokeweight="2pt">
              <v:textbox inset="15mm">
                <w:txbxContent>
                  <w:p w:rsidR="00C14C58" w:rsidRPr="0045287B" w:rsidRDefault="00C14C58" w:rsidP="00C14C58">
                    <w:pPr>
                      <w:rPr>
                        <w:rFonts w:eastAsia="Times New Roman" w:cs="Times New Roman"/>
                        <w:color w:val="186090"/>
                      </w:rPr>
                    </w:pPr>
                  </w:p>
                </w:txbxContent>
              </v:textbox>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32AE2"/>
    <w:multiLevelType w:val="hybridMultilevel"/>
    <w:tmpl w:val="CEF6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58"/>
    <w:rsid w:val="00091D99"/>
    <w:rsid w:val="001A743B"/>
    <w:rsid w:val="00402079"/>
    <w:rsid w:val="00492252"/>
    <w:rsid w:val="00670C68"/>
    <w:rsid w:val="007B4F5A"/>
    <w:rsid w:val="00804DA2"/>
    <w:rsid w:val="00AD3253"/>
    <w:rsid w:val="00B84594"/>
    <w:rsid w:val="00C14C58"/>
    <w:rsid w:val="00D6703A"/>
    <w:rsid w:val="00F422A9"/>
    <w:rsid w:val="00F76C04"/>
    <w:rsid w:val="00FA1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C58"/>
  </w:style>
  <w:style w:type="paragraph" w:styleId="Footer">
    <w:name w:val="footer"/>
    <w:basedOn w:val="Normal"/>
    <w:link w:val="FooterChar"/>
    <w:uiPriority w:val="99"/>
    <w:unhideWhenUsed/>
    <w:rsid w:val="00C14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C58"/>
  </w:style>
  <w:style w:type="paragraph" w:styleId="BalloonText">
    <w:name w:val="Balloon Text"/>
    <w:basedOn w:val="Normal"/>
    <w:link w:val="BalloonTextChar"/>
    <w:uiPriority w:val="99"/>
    <w:semiHidden/>
    <w:unhideWhenUsed/>
    <w:rsid w:val="00C14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C58"/>
    <w:rPr>
      <w:rFonts w:ascii="Tahoma" w:hAnsi="Tahoma" w:cs="Tahoma"/>
      <w:sz w:val="16"/>
      <w:szCs w:val="16"/>
    </w:rPr>
  </w:style>
  <w:style w:type="table" w:styleId="TableGrid">
    <w:name w:val="Table Grid"/>
    <w:basedOn w:val="TableNormal"/>
    <w:uiPriority w:val="59"/>
    <w:rsid w:val="0009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F5A"/>
    <w:pPr>
      <w:ind w:left="720"/>
      <w:contextualSpacing/>
    </w:pPr>
    <w:rPr>
      <w:rFonts w:ascii="Arial" w:hAnsi="Arial" w:cs="Arial"/>
      <w:bCs/>
      <w:color w:val="000000" w:themeColor="text1"/>
      <w:szCs w:val="28"/>
    </w:rPr>
  </w:style>
  <w:style w:type="paragraph" w:customStyle="1" w:styleId="Default">
    <w:name w:val="Default"/>
    <w:rsid w:val="00D6703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C58"/>
  </w:style>
  <w:style w:type="paragraph" w:styleId="Footer">
    <w:name w:val="footer"/>
    <w:basedOn w:val="Normal"/>
    <w:link w:val="FooterChar"/>
    <w:uiPriority w:val="99"/>
    <w:unhideWhenUsed/>
    <w:rsid w:val="00C14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C58"/>
  </w:style>
  <w:style w:type="paragraph" w:styleId="BalloonText">
    <w:name w:val="Balloon Text"/>
    <w:basedOn w:val="Normal"/>
    <w:link w:val="BalloonTextChar"/>
    <w:uiPriority w:val="99"/>
    <w:semiHidden/>
    <w:unhideWhenUsed/>
    <w:rsid w:val="00C14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C58"/>
    <w:rPr>
      <w:rFonts w:ascii="Tahoma" w:hAnsi="Tahoma" w:cs="Tahoma"/>
      <w:sz w:val="16"/>
      <w:szCs w:val="16"/>
    </w:rPr>
  </w:style>
  <w:style w:type="table" w:styleId="TableGrid">
    <w:name w:val="Table Grid"/>
    <w:basedOn w:val="TableNormal"/>
    <w:uiPriority w:val="59"/>
    <w:rsid w:val="0009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F5A"/>
    <w:pPr>
      <w:ind w:left="720"/>
      <w:contextualSpacing/>
    </w:pPr>
    <w:rPr>
      <w:rFonts w:ascii="Arial" w:hAnsi="Arial" w:cs="Arial"/>
      <w:bCs/>
      <w:color w:val="000000" w:themeColor="text1"/>
      <w:szCs w:val="28"/>
    </w:rPr>
  </w:style>
  <w:style w:type="paragraph" w:customStyle="1" w:styleId="Default">
    <w:name w:val="Default"/>
    <w:rsid w:val="00D670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Chiltern School</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Unsworth</dc:creator>
  <cp:lastModifiedBy>Katherine Miller</cp:lastModifiedBy>
  <cp:revision>2</cp:revision>
  <cp:lastPrinted>2019-10-07T11:58:00Z</cp:lastPrinted>
  <dcterms:created xsi:type="dcterms:W3CDTF">2019-11-20T09:36:00Z</dcterms:created>
  <dcterms:modified xsi:type="dcterms:W3CDTF">2019-11-20T09:36:00Z</dcterms:modified>
</cp:coreProperties>
</file>